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06" w:rsidRPr="00F74706" w:rsidRDefault="00F74706" w:rsidP="00F747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4706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</w:t>
      </w:r>
    </w:p>
    <w:p w:rsidR="00F74706" w:rsidRPr="00F74706" w:rsidRDefault="00F74706" w:rsidP="00F747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706" w:rsidRPr="00F74706" w:rsidRDefault="00F74706" w:rsidP="00F74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706">
        <w:rPr>
          <w:rFonts w:ascii="Times New Roman" w:eastAsia="Calibri" w:hAnsi="Times New Roman" w:cs="Times New Roman"/>
          <w:b/>
          <w:sz w:val="28"/>
          <w:szCs w:val="28"/>
        </w:rPr>
        <w:t>РЕКОМЕНДАЦИИ ПО ПРИМЕНЕНИЮ ДИАГНОСТИЧЕСКИХ МЕТОДИК</w:t>
      </w:r>
    </w:p>
    <w:p w:rsidR="00F74706" w:rsidRPr="00F74706" w:rsidRDefault="00F74706" w:rsidP="00F747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4"/>
        <w:gridCol w:w="2241"/>
        <w:gridCol w:w="2669"/>
        <w:gridCol w:w="2244"/>
        <w:gridCol w:w="1980"/>
        <w:gridCol w:w="2332"/>
      </w:tblGrid>
      <w:tr w:rsidR="00F74706" w:rsidRPr="00F74706" w:rsidTr="002D700A">
        <w:tc>
          <w:tcPr>
            <w:tcW w:w="1063" w:type="pct"/>
            <w:vMerge w:val="restar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Наименование методики</w:t>
            </w:r>
          </w:p>
        </w:tc>
        <w:tc>
          <w:tcPr>
            <w:tcW w:w="3938" w:type="pct"/>
            <w:gridSpan w:val="5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Нозологические группы</w:t>
            </w:r>
          </w:p>
        </w:tc>
      </w:tr>
      <w:tr w:rsidR="00F74706" w:rsidRPr="00F74706" w:rsidTr="002D700A">
        <w:tc>
          <w:tcPr>
            <w:tcW w:w="1063" w:type="pct"/>
            <w:vMerge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Тяжелые нарушения речи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Нарушения зрения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Нарушения слуха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sz w:val="24"/>
                <w:szCs w:val="24"/>
              </w:rPr>
              <w:t>Интеллектуальные нарушения</w:t>
            </w:r>
          </w:p>
        </w:tc>
      </w:tr>
      <w:tr w:rsidR="00F74706" w:rsidRPr="00F74706" w:rsidTr="002D700A">
        <w:tc>
          <w:tcPr>
            <w:tcW w:w="5000" w:type="pct"/>
            <w:gridSpan w:val="6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74706">
              <w:rPr>
                <w:rFonts w:eastAsia="Calibri" w:cs="Times New Roman"/>
                <w:b/>
                <w:i/>
                <w:sz w:val="24"/>
                <w:szCs w:val="24"/>
              </w:rPr>
              <w:t>ДИАГНОСТИКА ПРОФЕССИОНАЛЬНОЙ НАПРАВЛЕННОСТИ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1. Методика изучения статусов профессиональной идентичности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(А.А. Азбель, А.Г. Грецов)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 xml:space="preserve">2. Методика «Матрица выбора профессии» 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3. Дифференциально-диагностический опросник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(Е.А. Климов; модификация А.А. Азбель)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4. Опросник профессиональной готовности (ОПГ - 6)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(Л.Н. Кабардова)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5. Методика оценки склонности к различным сферам профессиональной деятельности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(Л.А. Йовайши)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 xml:space="preserve">6. Методика изучения профессиональной направленности 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(Дж. Холланд, модификация А.А. Азбель)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5000" w:type="pct"/>
            <w:gridSpan w:val="6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/>
                <w:i/>
                <w:kern w:val="24"/>
                <w:sz w:val="24"/>
                <w:szCs w:val="24"/>
              </w:rPr>
              <w:lastRenderedPageBreak/>
              <w:t>ИЗУЧЕНИЕ ИНДИВИДУАЛЬНО-ПСИХОЛОГИЧЕСКИХ ОСОБЕННОСТЕЙ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bCs/>
                <w:i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Cs/>
                <w:iCs/>
                <w:kern w:val="24"/>
                <w:sz w:val="24"/>
                <w:szCs w:val="24"/>
              </w:rPr>
              <w:t>1. Методика «Интеллектуальная лабильность»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bCs/>
                <w:i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Cs/>
                <w:iCs/>
                <w:kern w:val="24"/>
                <w:sz w:val="24"/>
                <w:szCs w:val="24"/>
              </w:rPr>
              <w:t xml:space="preserve">2. Тест интеллектуального потенциала (ТИП) </w:t>
            </w:r>
          </w:p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i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iCs/>
                <w:kern w:val="24"/>
                <w:sz w:val="24"/>
                <w:szCs w:val="24"/>
              </w:rPr>
              <w:t>(П. Ржичан)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 xml:space="preserve">3. Тест эмоций </w:t>
            </w:r>
          </w:p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(модифицированная методика Басса-Дарки)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b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Cs/>
                <w:kern w:val="24"/>
                <w:sz w:val="24"/>
                <w:szCs w:val="24"/>
              </w:rPr>
              <w:t>4. Шкала оценки уровня реактивной и личностной тревожности</w:t>
            </w:r>
          </w:p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b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Cs/>
                <w:kern w:val="24"/>
                <w:sz w:val="24"/>
                <w:szCs w:val="24"/>
              </w:rPr>
              <w:t>(Ч.Д. Спилберг, Ю.Л. Ханин)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5. Диагностика самооценки</w:t>
            </w:r>
          </w:p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(Дембо – Рубинштейн)</w:t>
            </w:r>
          </w:p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НЗ – трудности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ind w:firstLine="0"/>
              <w:rPr>
                <w:rFonts w:eastAsia="Times New Roman" w:cs="Times New Roman"/>
                <w:bCs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Cs/>
                <w:kern w:val="24"/>
                <w:sz w:val="24"/>
                <w:szCs w:val="24"/>
              </w:rPr>
              <w:t>6. Методика «Большая пятерка личностных качеств»</w:t>
            </w:r>
          </w:p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(А.Г. Грецов)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5000" w:type="pct"/>
            <w:gridSpan w:val="6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/>
                <w:i/>
                <w:kern w:val="24"/>
                <w:sz w:val="24"/>
                <w:szCs w:val="24"/>
              </w:rPr>
              <w:t>ВЫЯВЛЕНИЕ ПРОФЕССИОНАЛЬНЫХ СПОСОБНОСТЕЙ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 xml:space="preserve">1. Методика определения типа мышления и уровня креативности 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(«Профиль мышления», В.А. Ганзен, К.Б. Малышев, Л.В. Огинец)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2. Методика «Владение словом»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(Дж. Барретт)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3. Тест-опросник эмпатических тенденций</w:t>
            </w: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lastRenderedPageBreak/>
              <w:t>(А. Меграбиан и Н. Эпштейн)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kern w:val="24"/>
                <w:sz w:val="24"/>
                <w:szCs w:val="24"/>
              </w:rPr>
              <w:t>4. Методика «Определение технических способностей»</w:t>
            </w:r>
          </w:p>
        </w:tc>
        <w:tc>
          <w:tcPr>
            <w:tcW w:w="77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917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77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  <w:vAlign w:val="center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706" w:rsidRPr="00F74706" w:rsidTr="002D700A">
        <w:tc>
          <w:tcPr>
            <w:tcW w:w="5000" w:type="pct"/>
            <w:gridSpan w:val="6"/>
          </w:tcPr>
          <w:p w:rsidR="00F74706" w:rsidRPr="00F74706" w:rsidRDefault="00F74706" w:rsidP="00F7470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4706" w:rsidRPr="00F74706" w:rsidTr="002D700A">
        <w:tc>
          <w:tcPr>
            <w:tcW w:w="1063" w:type="pct"/>
          </w:tcPr>
          <w:p w:rsidR="00F74706" w:rsidRPr="00F74706" w:rsidRDefault="00F74706" w:rsidP="00F74706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b/>
                <w:i/>
                <w:kern w:val="24"/>
                <w:sz w:val="24"/>
                <w:szCs w:val="24"/>
              </w:rPr>
            </w:pPr>
          </w:p>
          <w:p w:rsidR="00F74706" w:rsidRPr="00F74706" w:rsidRDefault="00F74706" w:rsidP="00F74706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b/>
                <w:i/>
                <w:kern w:val="24"/>
                <w:sz w:val="24"/>
                <w:szCs w:val="24"/>
              </w:rPr>
            </w:pPr>
            <w:r w:rsidRPr="00F74706">
              <w:rPr>
                <w:rFonts w:eastAsia="Times New Roman" w:cs="Times New Roman"/>
                <w:b/>
                <w:i/>
                <w:kern w:val="24"/>
                <w:sz w:val="24"/>
                <w:szCs w:val="24"/>
              </w:rPr>
              <w:t>Примечание</w:t>
            </w:r>
          </w:p>
        </w:tc>
        <w:tc>
          <w:tcPr>
            <w:tcW w:w="770" w:type="pct"/>
          </w:tcPr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Возможно проведение диагностического обследования как в индивидуальной, так и в групповой форме.</w:t>
            </w:r>
          </w:p>
        </w:tc>
        <w:tc>
          <w:tcPr>
            <w:tcW w:w="917" w:type="pct"/>
          </w:tcPr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Рекомендовано проведение диагностического обследования в подгрупповой или индивидуальной форме в связи с особенностями восприятия инструкций детьми данной нозологической группы.</w:t>
            </w:r>
          </w:p>
        </w:tc>
        <w:tc>
          <w:tcPr>
            <w:tcW w:w="771" w:type="pct"/>
          </w:tcPr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Проведение диагностического обследования в зависимости от степени снижения зрения может быть организовано в форме устного анкетирования.</w:t>
            </w:r>
          </w:p>
        </w:tc>
        <w:tc>
          <w:tcPr>
            <w:tcW w:w="680" w:type="pct"/>
          </w:tcPr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>Диагностическое обследование необходимо проводить в индивидуальной форме с обязательным дублированием инструкции и материалов методики в текстовом формате.</w:t>
            </w:r>
          </w:p>
        </w:tc>
        <w:tc>
          <w:tcPr>
            <w:tcW w:w="801" w:type="pct"/>
          </w:tcPr>
          <w:p w:rsidR="00F74706" w:rsidRPr="00F74706" w:rsidRDefault="00F74706" w:rsidP="00F7470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74706">
              <w:rPr>
                <w:rFonts w:eastAsia="Calibri" w:cs="Times New Roman"/>
                <w:sz w:val="24"/>
                <w:szCs w:val="24"/>
              </w:rPr>
              <w:t xml:space="preserve">Проведение обследование должно осуществляться в индивидуальном формате. При наличии временного регламента для проведения методики возможно увеличение времени обследования. </w:t>
            </w:r>
          </w:p>
        </w:tc>
      </w:tr>
    </w:tbl>
    <w:p w:rsidR="00711763" w:rsidRDefault="00F74706" w:rsidP="00F74706">
      <w:pPr>
        <w:spacing w:after="0" w:line="240" w:lineRule="auto"/>
      </w:pPr>
      <w:bookmarkStart w:id="0" w:name="_GoBack"/>
      <w:bookmarkEnd w:id="0"/>
    </w:p>
    <w:sectPr w:rsidR="00711763" w:rsidSect="00F7470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06"/>
    <w:rsid w:val="002F4DBC"/>
    <w:rsid w:val="00F452C0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4056-E4C6-4D7A-B54C-93B1C98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6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1</cp:revision>
  <dcterms:created xsi:type="dcterms:W3CDTF">2022-01-14T07:44:00Z</dcterms:created>
  <dcterms:modified xsi:type="dcterms:W3CDTF">2022-01-14T07:46:00Z</dcterms:modified>
</cp:coreProperties>
</file>